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0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10607"/>
      </w:tblGrid>
      <w:tr w:rsidR="00296F9B" w:rsidRPr="00BE7F38" w:rsidTr="00083C77">
        <w:trPr>
          <w:trHeight w:hRule="exact" w:val="454"/>
        </w:trPr>
        <w:tc>
          <w:tcPr>
            <w:tcW w:w="10607" w:type="dxa"/>
            <w:shd w:val="clear" w:color="auto" w:fill="E7E6E6" w:themeFill="background2"/>
            <w:vAlign w:val="center"/>
          </w:tcPr>
          <w:p w:rsidR="00296F9B" w:rsidRPr="00BE7F38" w:rsidRDefault="00083C77" w:rsidP="00083C77">
            <w:pPr>
              <w:pStyle w:val="DSC8"/>
            </w:pPr>
            <w:bookmarkStart w:id="0" w:name="_GoBack"/>
            <w:bookmarkEnd w:id="0"/>
            <w:r w:rsidRPr="00083C77">
              <w:rPr>
                <w:b/>
                <w:bCs/>
                <w:sz w:val="20"/>
              </w:rPr>
              <w:t>Unterrichtung nach § 17 Bundesstatistikgesetz</w:t>
            </w:r>
          </w:p>
        </w:tc>
      </w:tr>
      <w:tr w:rsidR="00083C77" w:rsidRPr="004A1A94" w:rsidTr="00867C69">
        <w:trPr>
          <w:trHeight w:val="1871"/>
        </w:trPr>
        <w:tc>
          <w:tcPr>
            <w:tcW w:w="10607" w:type="dxa"/>
            <w:tcMar>
              <w:top w:w="113" w:type="dxa"/>
              <w:bottom w:w="113" w:type="dxa"/>
            </w:tcMar>
          </w:tcPr>
          <w:p w:rsidR="00083C77" w:rsidRPr="00BE7F38" w:rsidRDefault="009A017E" w:rsidP="007A45D5">
            <w:pPr>
              <w:pStyle w:val="DSC8"/>
              <w:jc w:val="both"/>
            </w:pPr>
            <w:r w:rsidRPr="009A017E">
              <w:t>Die allgemein bei allen Gewerbeanzeigepflichtigen durchgeführte Statistik dient der Gewinnung zuverlässiger, aktueller und bundesweit vergleichbarer Daten über die Gewerbean-, -ab- und -ummeldungen. Sie ist unentbehrliche Informationsgrundlage für die Wirtschafts-, Wettbewerbs- und Strukturpolitik. Rechtsgrundla</w:t>
            </w:r>
            <w:r w:rsidR="00FE5668">
              <w:t>ge der Statistik ist § 14 Abs. 5 Satz 1 i.V.m. § 14 Abs. 13</w:t>
            </w:r>
            <w:r w:rsidRPr="009A017E">
              <w:t xml:space="preserve"> der Gewerbeordnung i.V.m. dem Gesetz über die Statistik für Bundeszwecke (Bundesstatistikgesetz BStatG). Erhoben werden die Tatbestände zu § </w:t>
            </w:r>
            <w:r w:rsidR="00FE5668">
              <w:t>3</w:t>
            </w:r>
            <w:r w:rsidRPr="009A017E">
              <w:t xml:space="preserve"> Abs. </w:t>
            </w:r>
            <w:r w:rsidR="00FE5668">
              <w:t>2</w:t>
            </w:r>
            <w:r w:rsidRPr="009A017E">
              <w:t xml:space="preserve"> Nr. 1 bis 3 </w:t>
            </w:r>
            <w:r w:rsidR="00FE5668">
              <w:t>Gewerbeanzeigeverordnung. Gemäß § 14 Abs. 13</w:t>
            </w:r>
            <w:r w:rsidRPr="009A017E">
              <w:t xml:space="preserve"> der Gewerbeordnung in Verbindung mit § 15 BStatG besteht für die nach § 14 Abs. 1 bis 3 Gewerbeordnung Anzeigepflichtigen Auskunftspflicht. Die Auskunftserteilung erfolgt mit der Gewerbeanzeige. Widerspruch und Anfechtungsklage gegen die Aufforderung zur Auskunftse</w:t>
            </w:r>
            <w:r w:rsidR="00FE5668">
              <w:t>rteilung haben gemäß § 15 Abs. 7</w:t>
            </w:r>
            <w:r w:rsidRPr="009A017E">
              <w:t xml:space="preserve"> BStatG keine aufschiebende Wirkung. Die erhobenen Einzelangaben werden nach § 16 BStatG grundsätzlich geheim gehalten. Nur in ausdrücklich gesetzlich geregelten Ausnahmefällen dürfen Einzelangaben übermittelt werden. Nach § 16 Abs. 6 BStatG ist es möglich, den Hochschulen oder sonstigen Einrichtungen mit der Aufgabe unabhängiger wissenschaftlicher Forschung für die Durchführung wissenschaftlicher Vorhaben Einzelangaben dann zur Verfügung zu stellen, wenn diese so anonymisiert sind, dass sie nur mit einem unverhältnismäßig großen Aufwand an Zeit, Kosten und Arbeitskraft dem Befragten oder Betroffenen zugeordnet werden können. Die Pflicht zur Geheimhaltung besteht für die Personen, die Empfänger von Einzelangaben sind. </w:t>
            </w:r>
            <w:r w:rsidRPr="000D70DF">
              <w:t>Die Angaben zu den Feldnummern 1</w:t>
            </w:r>
            <w:r w:rsidR="00FE5668">
              <w:t xml:space="preserve"> bis 5</w:t>
            </w:r>
            <w:r w:rsidRPr="000D70DF">
              <w:t>, 1</w:t>
            </w:r>
            <w:r w:rsidR="00876BD4" w:rsidRPr="000D70DF">
              <w:t>2</w:t>
            </w:r>
            <w:r w:rsidRPr="000D70DF">
              <w:t xml:space="preserve"> und 1</w:t>
            </w:r>
            <w:r w:rsidR="00876BD4" w:rsidRPr="000D70DF">
              <w:t>5</w:t>
            </w:r>
            <w:r w:rsidRPr="000D70DF">
              <w:t xml:space="preserve"> bis 1</w:t>
            </w:r>
            <w:r w:rsidR="00876BD4" w:rsidRPr="000D70DF">
              <w:t>7</w:t>
            </w:r>
            <w:r w:rsidRPr="000D70DF">
              <w:t xml:space="preserve"> sind Hilfsmerkmale, die lediglich der technischen Durchführung der Erhebung dienen. </w:t>
            </w:r>
            <w:r w:rsidR="00876BD4" w:rsidRPr="000D70DF">
              <w:t>Die Angaben zu der Feldnummer 12</w:t>
            </w:r>
            <w:r w:rsidRPr="000D70DF">
              <w:t xml:space="preserve"> werden nach Abschluss der Prüfung der Angaben vernichtet. Die übrigen Angaben zu den Feldnummern werden zusammen mit den Angaben zu den Feldnummern </w:t>
            </w:r>
            <w:r w:rsidR="007A45D5">
              <w:t xml:space="preserve">6, 10, </w:t>
            </w:r>
            <w:r w:rsidRPr="000D70DF">
              <w:t>1</w:t>
            </w:r>
            <w:r w:rsidR="006B7843" w:rsidRPr="000D70DF">
              <w:t>8</w:t>
            </w:r>
            <w:r w:rsidR="007A45D5">
              <w:t xml:space="preserve"> bis 25,</w:t>
            </w:r>
            <w:r w:rsidRPr="000D70DF">
              <w:t xml:space="preserve"> 29 und </w:t>
            </w:r>
            <w:r w:rsidR="007A45D5">
              <w:t xml:space="preserve">32 </w:t>
            </w:r>
            <w:r w:rsidRPr="000D70DF">
              <w:t>zur Führung einer Adressdatei nach § 13 BStatG verwendet.</w:t>
            </w:r>
            <w:r w:rsidRPr="009A017E">
              <w:t xml:space="preserve"> Darüber hinaus dienen die vorgenannten Angaben </w:t>
            </w:r>
            <w:r w:rsidR="007A45D5">
              <w:t xml:space="preserve">zur Führung eines Unternehmensregisters </w:t>
            </w:r>
            <w:r w:rsidR="007A45D5" w:rsidRPr="007A45D5">
              <w:t>gemäß der Verordnung (EG) Nr. 177/2008 des Europäischen Parlaments und des Rates vom 20. Februar 2008 zur Schaffung eines gemeinsamen Rahmens für Unternehmensregister für statistische Zwecke und zur Aufhebung der Verordnung (EWG) Nr. 2186/93 des Rates (ABl. L 61 vom 5.3.2008, S. 6) in der jeweils geltenden Fassung und dem Statistikregistergesetz.</w:t>
            </w:r>
            <w:r w:rsidR="007A45D5">
              <w:t xml:space="preserve"> </w:t>
            </w:r>
            <w:r w:rsidRPr="009A017E">
              <w:t>Zur technischen Durchführung der Erhebung werden für jedes Unternehmen bzw. für jeden Betrieb Ordnungsnummern vergeben. Bei den Unternehmens- und Betriebsstättennummern handelt es sich um laufende, länderspezifische Nummern; Postleitzahl, Art und Nummer enthalten die Angaben zu den in Feldnummer 1 genannten Registern.</w:t>
            </w:r>
          </w:p>
        </w:tc>
      </w:tr>
      <w:tr w:rsidR="00083C77" w:rsidRPr="006F68EC" w:rsidTr="00083C77">
        <w:trPr>
          <w:trHeight w:hRule="exact" w:val="454"/>
        </w:trPr>
        <w:tc>
          <w:tcPr>
            <w:tcW w:w="10607" w:type="dxa"/>
            <w:shd w:val="clear" w:color="auto" w:fill="E7E6E6" w:themeFill="background2"/>
            <w:vAlign w:val="center"/>
          </w:tcPr>
          <w:p w:rsidR="00083C77" w:rsidRPr="001B4956" w:rsidRDefault="001B4956" w:rsidP="00E46C0C">
            <w:pPr>
              <w:pStyle w:val="DSC8"/>
              <w:rPr>
                <w:b/>
                <w:sz w:val="20"/>
                <w:szCs w:val="20"/>
              </w:rPr>
            </w:pPr>
            <w:r w:rsidRPr="001B4956">
              <w:rPr>
                <w:b/>
                <w:sz w:val="20"/>
                <w:szCs w:val="20"/>
              </w:rPr>
              <w:t>Hinweise</w:t>
            </w:r>
          </w:p>
        </w:tc>
      </w:tr>
      <w:tr w:rsidR="00083C77" w:rsidRPr="00427CA7" w:rsidTr="00386F0F">
        <w:trPr>
          <w:trHeight w:val="2268"/>
        </w:trPr>
        <w:tc>
          <w:tcPr>
            <w:tcW w:w="10607" w:type="dxa"/>
            <w:tcMar>
              <w:top w:w="113" w:type="dxa"/>
              <w:bottom w:w="113" w:type="dxa"/>
            </w:tcMar>
          </w:tcPr>
          <w:p w:rsidR="009A017E" w:rsidRPr="009A017E" w:rsidRDefault="009A017E" w:rsidP="007D0A99">
            <w:pPr>
              <w:pStyle w:val="DSC8"/>
              <w:numPr>
                <w:ilvl w:val="0"/>
                <w:numId w:val="1"/>
              </w:numPr>
              <w:ind w:left="227" w:hanging="227"/>
              <w:jc w:val="both"/>
            </w:pPr>
            <w:r w:rsidRPr="009A017E">
              <w:t>Diese Anzeige gilt gleichzeitig als Anzeige nach § 138 Abs. 1 der Abgabenordnung bei dem für den angemeldeten Betrieb zuständigen Finanzamt</w:t>
            </w:r>
            <w:r w:rsidR="007A45D5">
              <w:t xml:space="preserve"> </w:t>
            </w:r>
            <w:r w:rsidR="007A45D5" w:rsidRPr="007A45D5">
              <w:t>sowie nach § 192 SGB VII als Mitteilung gegenüber dem zuständigen Unfallversicherungsträger.</w:t>
            </w:r>
            <w:r w:rsidRPr="009A017E">
              <w:t xml:space="preserve"> Unberührt bleiben </w:t>
            </w:r>
            <w:r w:rsidR="007A45D5">
              <w:t xml:space="preserve">die übrigen steuerrechtlichen Vorschriften sowie </w:t>
            </w:r>
            <w:r w:rsidRPr="009A017E">
              <w:t xml:space="preserve">die sonstigen öffentlich-rechtlichen Pflichten z. B. nach dem Arbeits- und Sozialversicherungsrecht oder dem Außenwirtschafts- und Ausländerrecht. Diese Bescheinigung berechtigt insbesondere nicht zum Beginn oder zur Änderung oder Erweiterung oder Verlegung eines Gewerbebetriebes, wenn dafür eine Erlaubnis oder eine Eintragung in die Handwerksrolle notwendig ist. Zuwiderhandlungen gegen eine Anzeige- oder Erlaubnispflicht oder eine Pflicht zur Eintragung in die Handwerksrolle können mit Geldbuße, in bestimmten Fällen (vgl. § 148 GewO) auch mit Geldstrafe oder Freiheitsstrafe geahndet werden. Die Fortsetzung eines ohne eine etwa erforderliche Erlaubnis oder eine Eintragung in die Handwerksrolle begonnenen Betriebes kann verhindert werden (§ 15 Abs. 2 GewO, § 16 HwO). </w:t>
            </w:r>
          </w:p>
          <w:p w:rsidR="009A017E" w:rsidRPr="009A017E" w:rsidRDefault="009A017E" w:rsidP="007D0A99">
            <w:pPr>
              <w:pStyle w:val="DSC8"/>
              <w:ind w:left="227" w:hanging="227"/>
              <w:jc w:val="both"/>
            </w:pPr>
          </w:p>
          <w:p w:rsidR="009A017E" w:rsidRPr="009A017E" w:rsidRDefault="009A017E" w:rsidP="007D0A99">
            <w:pPr>
              <w:pStyle w:val="DSC8"/>
              <w:numPr>
                <w:ilvl w:val="0"/>
                <w:numId w:val="1"/>
              </w:numPr>
              <w:ind w:left="227" w:hanging="227"/>
              <w:jc w:val="both"/>
            </w:pPr>
            <w:r w:rsidRPr="009A017E">
              <w:t xml:space="preserve">Ein Wechsel des Betriebsinhabers (z.B. durch Kauf, Pacht, Erbfolge, Änderung der Rechtsform, einschließlich des Ein- oder Austritts geschäftsführender Gesellschafter bei Personengesellschaften (OHG, KG, GbR)), ein Wechsel der Betriebstätigkeit (z.B. Umwandlung eines Großhandels in einen Einzelhandel), eine Ausdehnung der Tätigkeit auf Waren oder Leistungen, die bei Betrieben der angemeldeten Art nicht geschäftsüblich sind (z.B. Erweiterung eines Großhandels um einen Einzelhandel), eine Verlegung des Betriebes oder die Aufgabe des Betriebes ist erneut nach § 14 GewO anzuzeigen. </w:t>
            </w:r>
          </w:p>
          <w:p w:rsidR="009A017E" w:rsidRPr="009A017E" w:rsidRDefault="009A017E" w:rsidP="007D0A99">
            <w:pPr>
              <w:pStyle w:val="DSC8"/>
              <w:ind w:left="227" w:hanging="227"/>
              <w:jc w:val="both"/>
              <w:rPr>
                <w:b/>
                <w:bCs/>
              </w:rPr>
            </w:pPr>
          </w:p>
          <w:p w:rsidR="009A017E" w:rsidRPr="009A017E" w:rsidRDefault="009A017E" w:rsidP="007D0A99">
            <w:pPr>
              <w:pStyle w:val="DSC8"/>
              <w:numPr>
                <w:ilvl w:val="0"/>
                <w:numId w:val="1"/>
              </w:numPr>
              <w:ind w:left="227" w:hanging="227"/>
              <w:jc w:val="both"/>
            </w:pPr>
            <w:r w:rsidRPr="009A017E">
              <w:t xml:space="preserve">Bei bereits gegründeten, aber noch nicht im Handelsregister eingetragenen juristischen Personen gilt die Gewerbeanmeldung bis zu ihrer Registereintragung nur als Gewerbeanzeige für die in dem Gesellschaftsvertrag oder in der Satzung angegebenen Gründer; für die juristische Person gilt die Gewerbeanmeldung erst dann, wenn der auf der Vorderseite angegebenen Behörde ein Auszug über die Registereintragung vorgelegt wird, deren Inhalt mit den Angaben in der Gewerbeanzeige übereinstimmt. </w:t>
            </w:r>
          </w:p>
          <w:p w:rsidR="009A017E" w:rsidRPr="009A017E" w:rsidRDefault="009A017E" w:rsidP="007D0A99">
            <w:pPr>
              <w:pStyle w:val="DSC8"/>
              <w:ind w:left="227" w:hanging="227"/>
              <w:jc w:val="both"/>
              <w:rPr>
                <w:b/>
                <w:bCs/>
              </w:rPr>
            </w:pPr>
          </w:p>
          <w:p w:rsidR="00083C77" w:rsidRPr="00427CA7" w:rsidRDefault="009A017E" w:rsidP="007D0A99">
            <w:pPr>
              <w:pStyle w:val="DSC8"/>
              <w:numPr>
                <w:ilvl w:val="0"/>
                <w:numId w:val="1"/>
              </w:numPr>
              <w:ind w:left="227" w:hanging="227"/>
              <w:jc w:val="both"/>
            </w:pPr>
            <w:r w:rsidRPr="009A017E">
              <w:t xml:space="preserve">Ausländer, mit Ausnahme der EU/EWR Ausländer, die in eigener Person im Inland eine gewerbliche Tätigkeit ausüben wollen, bedürfen einer Aufenthaltsgenehmigung der dafür zuständigen Ausländerbehörde, nach der ihnen die Ausübung des betreffenden Gewerbes ausländerrechtlich gestattet ist. </w:t>
            </w:r>
          </w:p>
        </w:tc>
      </w:tr>
      <w:tr w:rsidR="00083C77" w:rsidRPr="00427CA7" w:rsidTr="001B4956">
        <w:trPr>
          <w:trHeight w:hRule="exact" w:val="454"/>
        </w:trPr>
        <w:tc>
          <w:tcPr>
            <w:tcW w:w="10607" w:type="dxa"/>
            <w:shd w:val="clear" w:color="auto" w:fill="E7E6E6" w:themeFill="background2"/>
            <w:vAlign w:val="center"/>
          </w:tcPr>
          <w:p w:rsidR="00083C77" w:rsidRPr="001B4956" w:rsidRDefault="001B4956" w:rsidP="001B4956">
            <w:pPr>
              <w:pStyle w:val="DSC8"/>
              <w:rPr>
                <w:b/>
                <w:sz w:val="20"/>
                <w:szCs w:val="20"/>
              </w:rPr>
            </w:pPr>
            <w:r w:rsidRPr="001B4956">
              <w:rPr>
                <w:b/>
                <w:sz w:val="20"/>
                <w:szCs w:val="20"/>
              </w:rPr>
              <w:t>Datenschutzrechtlicher Hinweis</w:t>
            </w:r>
          </w:p>
        </w:tc>
      </w:tr>
      <w:tr w:rsidR="00083C77" w:rsidRPr="00427CA7" w:rsidTr="00FF103C">
        <w:trPr>
          <w:trHeight w:val="1417"/>
        </w:trPr>
        <w:tc>
          <w:tcPr>
            <w:tcW w:w="10607" w:type="dxa"/>
            <w:tcMar>
              <w:top w:w="113" w:type="dxa"/>
              <w:bottom w:w="113" w:type="dxa"/>
            </w:tcMar>
          </w:tcPr>
          <w:p w:rsidR="009A017E" w:rsidRPr="00122A50" w:rsidRDefault="009A017E" w:rsidP="00FF103C">
            <w:pPr>
              <w:pStyle w:val="DSC8"/>
              <w:jc w:val="both"/>
            </w:pPr>
            <w:r w:rsidRPr="00122A50">
              <w:t xml:space="preserve">Die erfragten personenbezogenen Daten werden zur Bearbeitung benötigt. Die Erhebung, Verarbeitung und Nutzung erfolgt aufgrund und zum Zweck des § </w:t>
            </w:r>
            <w:r>
              <w:t>14</w:t>
            </w:r>
            <w:r w:rsidRPr="00122A50">
              <w:t xml:space="preserve"> GewO, des Art. 6 Abs. 1c DSGVO und den Regelungen der Abgabenordnung.</w:t>
            </w:r>
          </w:p>
          <w:p w:rsidR="009A017E" w:rsidRPr="00122A50" w:rsidRDefault="009A017E" w:rsidP="00FF103C">
            <w:pPr>
              <w:pStyle w:val="DSC8"/>
              <w:jc w:val="both"/>
            </w:pPr>
          </w:p>
          <w:p w:rsidR="009A017E" w:rsidRDefault="009A017E" w:rsidP="00FF103C">
            <w:pPr>
              <w:pStyle w:val="DSC8"/>
              <w:jc w:val="both"/>
            </w:pPr>
            <w:r w:rsidRPr="00122A50">
              <w:t>Nähere Informationen zu Ihren Rechten im Rahmen der Erhebung von personenbezogenen Daten nach Artikel 13 und 14 der Datenschutz-Grundverordnung erhalten Sie bei</w:t>
            </w:r>
            <w:r w:rsidR="00850205">
              <w:t>:</w:t>
            </w:r>
          </w:p>
          <w:p w:rsidR="00AC2884" w:rsidRDefault="00AC2884" w:rsidP="00FF103C">
            <w:pPr>
              <w:pStyle w:val="DSC8"/>
              <w:jc w:val="both"/>
            </w:pPr>
          </w:p>
          <w:p w:rsidR="00850205" w:rsidRDefault="00850205" w:rsidP="002C0376">
            <w:pPr>
              <w:pStyle w:val="DSM8"/>
            </w:pPr>
            <w:r>
              <w:t>Anja Moormann</w:t>
            </w:r>
          </w:p>
          <w:p w:rsidR="00850205" w:rsidRDefault="00850205" w:rsidP="002C0376">
            <w:pPr>
              <w:pStyle w:val="DSM8"/>
            </w:pPr>
            <w:r>
              <w:t>Am Markt 1</w:t>
            </w:r>
          </w:p>
          <w:p w:rsidR="00850205" w:rsidRDefault="00850205" w:rsidP="002C0376">
            <w:pPr>
              <w:pStyle w:val="DSM8"/>
            </w:pPr>
            <w:r>
              <w:t>49685 Emstek</w:t>
            </w:r>
          </w:p>
          <w:p w:rsidR="00850205" w:rsidRDefault="00850205" w:rsidP="002C0376">
            <w:pPr>
              <w:pStyle w:val="DSM8"/>
            </w:pPr>
          </w:p>
          <w:p w:rsidR="00850205" w:rsidRDefault="00850205" w:rsidP="002C0376">
            <w:pPr>
              <w:pStyle w:val="DSM8"/>
            </w:pPr>
            <w:r>
              <w:t>Email: datenschutz@emstek.de</w:t>
            </w:r>
          </w:p>
          <w:p w:rsidR="00083C77" w:rsidRDefault="00083C77" w:rsidP="002C0376">
            <w:pPr>
              <w:pStyle w:val="DSM8"/>
            </w:pPr>
          </w:p>
          <w:p w:rsidR="00850205" w:rsidRPr="00427CA7" w:rsidRDefault="00850205" w:rsidP="00FF103C">
            <w:pPr>
              <w:pStyle w:val="DSC8"/>
              <w:jc w:val="both"/>
            </w:pPr>
          </w:p>
        </w:tc>
      </w:tr>
    </w:tbl>
    <w:p w:rsidR="002E7EB1" w:rsidRDefault="002E7EB1" w:rsidP="001B4956">
      <w:pPr>
        <w:pStyle w:val="DSC8"/>
      </w:pPr>
    </w:p>
    <w:sectPr w:rsidR="002E7EB1" w:rsidSect="0039062D">
      <w:headerReference w:type="default" r:id="rId7"/>
      <w:pgSz w:w="11906" w:h="16838"/>
      <w:pgMar w:top="720" w:right="720" w:bottom="720" w:left="720" w:header="425" w:footer="6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390" w:rsidRDefault="001B6390" w:rsidP="002679E5">
      <w:pPr>
        <w:spacing w:after="0" w:line="240" w:lineRule="auto"/>
      </w:pPr>
      <w:r>
        <w:separator/>
      </w:r>
    </w:p>
  </w:endnote>
  <w:endnote w:type="continuationSeparator" w:id="0">
    <w:p w:rsidR="001B6390" w:rsidRDefault="001B6390" w:rsidP="00267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DejaVu Sans Condensed">
    <w:altName w:val="Segoe Condensed"/>
    <w:panose1 w:val="020B0606030804020204"/>
    <w:charset w:val="00"/>
    <w:family w:val="swiss"/>
    <w:pitch w:val="variable"/>
    <w:sig w:usb0="E7002EFF" w:usb1="D200FDFF" w:usb2="0A246029" w:usb3="00000000" w:csb0="000001FF" w:csb1="00000000"/>
  </w:font>
  <w:font w:name="Segoe UI">
    <w:panose1 w:val="020B0502040204020203"/>
    <w:charset w:val="00"/>
    <w:family w:val="swiss"/>
    <w:pitch w:val="variable"/>
    <w:sig w:usb0="E4002EFF" w:usb1="C000E47F" w:usb2="00000009" w:usb3="00000000" w:csb0="000001FF" w:csb1="00000000"/>
  </w:font>
  <w:font w:name="DejaVu Sans Mono">
    <w:altName w:val="Lucida Console"/>
    <w:panose1 w:val="020B0609030804020204"/>
    <w:charset w:val="00"/>
    <w:family w:val="modern"/>
    <w:pitch w:val="fixed"/>
    <w:sig w:usb0="E70026FF" w:usb1="D200F9FB" w:usb2="02000028"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390" w:rsidRDefault="001B6390" w:rsidP="002679E5">
      <w:pPr>
        <w:spacing w:after="0" w:line="240" w:lineRule="auto"/>
      </w:pPr>
      <w:r>
        <w:separator/>
      </w:r>
    </w:p>
  </w:footnote>
  <w:footnote w:type="continuationSeparator" w:id="0">
    <w:p w:rsidR="001B6390" w:rsidRDefault="001B6390" w:rsidP="002679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538" w:rsidRPr="005B37A2" w:rsidRDefault="00083C77" w:rsidP="005B37A2">
    <w:pPr>
      <w:pStyle w:val="berschrift2"/>
    </w:pPr>
    <w:r w:rsidRPr="005B37A2">
      <w:t xml:space="preserve">Anlage Hinweise: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00824"/>
    <w:multiLevelType w:val="hybridMultilevel"/>
    <w:tmpl w:val="80802B7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nsid w:val="4AB5426A"/>
    <w:multiLevelType w:val="hybridMultilevel"/>
    <w:tmpl w:val="41E68D38"/>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6177"/>
    <w:rsid w:val="00004BDD"/>
    <w:rsid w:val="0001297D"/>
    <w:rsid w:val="00060568"/>
    <w:rsid w:val="00063A57"/>
    <w:rsid w:val="00067012"/>
    <w:rsid w:val="00071EF8"/>
    <w:rsid w:val="00075A3A"/>
    <w:rsid w:val="00083C77"/>
    <w:rsid w:val="000863E7"/>
    <w:rsid w:val="000C0DBA"/>
    <w:rsid w:val="000C47EB"/>
    <w:rsid w:val="000D2F36"/>
    <w:rsid w:val="000D70DF"/>
    <w:rsid w:val="00100572"/>
    <w:rsid w:val="00122A50"/>
    <w:rsid w:val="00171150"/>
    <w:rsid w:val="0018214A"/>
    <w:rsid w:val="00196B1A"/>
    <w:rsid w:val="001A59C4"/>
    <w:rsid w:val="001B4956"/>
    <w:rsid w:val="001B6390"/>
    <w:rsid w:val="00244F83"/>
    <w:rsid w:val="0024774A"/>
    <w:rsid w:val="002679E5"/>
    <w:rsid w:val="00296F9B"/>
    <w:rsid w:val="002C0376"/>
    <w:rsid w:val="002E7EB1"/>
    <w:rsid w:val="00346CCF"/>
    <w:rsid w:val="00386F0F"/>
    <w:rsid w:val="0039062D"/>
    <w:rsid w:val="003A3A26"/>
    <w:rsid w:val="003A46E1"/>
    <w:rsid w:val="003B153C"/>
    <w:rsid w:val="003C63F1"/>
    <w:rsid w:val="004278A1"/>
    <w:rsid w:val="00427CA7"/>
    <w:rsid w:val="00437B9D"/>
    <w:rsid w:val="0045093C"/>
    <w:rsid w:val="004509A3"/>
    <w:rsid w:val="00450E75"/>
    <w:rsid w:val="0045246B"/>
    <w:rsid w:val="00463EC2"/>
    <w:rsid w:val="004A1A94"/>
    <w:rsid w:val="004A5456"/>
    <w:rsid w:val="004B0F7D"/>
    <w:rsid w:val="004B278D"/>
    <w:rsid w:val="004E0DA4"/>
    <w:rsid w:val="00506E28"/>
    <w:rsid w:val="00512C92"/>
    <w:rsid w:val="00526959"/>
    <w:rsid w:val="005331B6"/>
    <w:rsid w:val="00567162"/>
    <w:rsid w:val="00572C5C"/>
    <w:rsid w:val="005B37A2"/>
    <w:rsid w:val="005C22F9"/>
    <w:rsid w:val="005D03D2"/>
    <w:rsid w:val="005D4D69"/>
    <w:rsid w:val="006659FF"/>
    <w:rsid w:val="00665D94"/>
    <w:rsid w:val="0069546E"/>
    <w:rsid w:val="006B2D5D"/>
    <w:rsid w:val="006B56B6"/>
    <w:rsid w:val="006B7843"/>
    <w:rsid w:val="006F68EC"/>
    <w:rsid w:val="0070397A"/>
    <w:rsid w:val="00730538"/>
    <w:rsid w:val="007434C3"/>
    <w:rsid w:val="00790786"/>
    <w:rsid w:val="007A45D5"/>
    <w:rsid w:val="007C6DB6"/>
    <w:rsid w:val="007D0A99"/>
    <w:rsid w:val="007F0AB7"/>
    <w:rsid w:val="00801428"/>
    <w:rsid w:val="00850205"/>
    <w:rsid w:val="00867C69"/>
    <w:rsid w:val="00876BD4"/>
    <w:rsid w:val="008B0046"/>
    <w:rsid w:val="008E6436"/>
    <w:rsid w:val="0092226E"/>
    <w:rsid w:val="00925BAC"/>
    <w:rsid w:val="00926177"/>
    <w:rsid w:val="009339FA"/>
    <w:rsid w:val="009A017E"/>
    <w:rsid w:val="009E4B97"/>
    <w:rsid w:val="009F6A68"/>
    <w:rsid w:val="00A434DC"/>
    <w:rsid w:val="00A93443"/>
    <w:rsid w:val="00AB4E4C"/>
    <w:rsid w:val="00AB7741"/>
    <w:rsid w:val="00AC2884"/>
    <w:rsid w:val="00B22681"/>
    <w:rsid w:val="00B40847"/>
    <w:rsid w:val="00B60435"/>
    <w:rsid w:val="00BE7F38"/>
    <w:rsid w:val="00BF7B76"/>
    <w:rsid w:val="00C02DDA"/>
    <w:rsid w:val="00C02F34"/>
    <w:rsid w:val="00C13A6F"/>
    <w:rsid w:val="00C970AC"/>
    <w:rsid w:val="00CC5CDC"/>
    <w:rsid w:val="00D029FA"/>
    <w:rsid w:val="00D23710"/>
    <w:rsid w:val="00D3707D"/>
    <w:rsid w:val="00E17970"/>
    <w:rsid w:val="00E41CEF"/>
    <w:rsid w:val="00E46C0C"/>
    <w:rsid w:val="00E500C4"/>
    <w:rsid w:val="00E80147"/>
    <w:rsid w:val="00E96BA2"/>
    <w:rsid w:val="00FD467C"/>
    <w:rsid w:val="00FE5668"/>
    <w:rsid w:val="00FF10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de-DE"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00572"/>
    <w:rPr>
      <w:rFonts w:ascii="Arial" w:hAnsi="Arial" w:cs="Times New Roman"/>
      <w:sz w:val="20"/>
    </w:rPr>
  </w:style>
  <w:style w:type="paragraph" w:styleId="berschrift1">
    <w:name w:val="heading 1"/>
    <w:basedOn w:val="Standard"/>
    <w:next w:val="Standard"/>
    <w:link w:val="berschrift1Zchn"/>
    <w:autoRedefine/>
    <w:uiPriority w:val="9"/>
    <w:qFormat/>
    <w:rsid w:val="0001297D"/>
    <w:pPr>
      <w:keepNext/>
      <w:keepLines/>
      <w:spacing w:before="240" w:after="120"/>
      <w:outlineLvl w:val="0"/>
    </w:pPr>
    <w:rPr>
      <w:rFonts w:eastAsiaTheme="majorEastAsia"/>
      <w:color w:val="2E74B5" w:themeColor="accent1" w:themeShade="BF"/>
      <w:sz w:val="32"/>
      <w:szCs w:val="32"/>
    </w:rPr>
  </w:style>
  <w:style w:type="paragraph" w:styleId="berschrift2">
    <w:name w:val="heading 2"/>
    <w:basedOn w:val="Standard"/>
    <w:next w:val="Standard"/>
    <w:link w:val="berschrift2Zchn"/>
    <w:autoRedefine/>
    <w:uiPriority w:val="9"/>
    <w:unhideWhenUsed/>
    <w:qFormat/>
    <w:rsid w:val="005B37A2"/>
    <w:pPr>
      <w:keepNext/>
      <w:keepLines/>
      <w:spacing w:before="40" w:after="40" w:line="240" w:lineRule="auto"/>
      <w:outlineLvl w:val="1"/>
    </w:pPr>
    <w:rPr>
      <w:rFonts w:ascii="DejaVu Sans Condensed" w:eastAsiaTheme="majorEastAsia" w:hAnsi="DejaVu Sans Condensed"/>
      <w:color w:val="808080" w:themeColor="background1" w:themeShade="80"/>
      <w:sz w:val="12"/>
      <w:szCs w:val="12"/>
    </w:rPr>
  </w:style>
  <w:style w:type="paragraph" w:styleId="berschrift3">
    <w:name w:val="heading 3"/>
    <w:basedOn w:val="Standard"/>
    <w:next w:val="Standard"/>
    <w:link w:val="berschrift3Zchn"/>
    <w:autoRedefine/>
    <w:uiPriority w:val="9"/>
    <w:unhideWhenUsed/>
    <w:qFormat/>
    <w:rsid w:val="0001297D"/>
    <w:pPr>
      <w:keepNext/>
      <w:keepLines/>
      <w:spacing w:before="40" w:after="120"/>
      <w:outlineLvl w:val="2"/>
    </w:pPr>
    <w:rPr>
      <w:rFonts w:eastAsiaTheme="majorEastAsia"/>
      <w:color w:val="2E74B5" w:themeColor="accent1" w:themeShade="BF"/>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01297D"/>
    <w:rPr>
      <w:rFonts w:ascii="Arial" w:eastAsiaTheme="majorEastAsia" w:hAnsi="Arial" w:cs="Times New Roman"/>
      <w:color w:val="2E74B5" w:themeColor="accent1" w:themeShade="BF"/>
      <w:sz w:val="32"/>
      <w:szCs w:val="32"/>
    </w:rPr>
  </w:style>
  <w:style w:type="character" w:customStyle="1" w:styleId="berschrift2Zchn">
    <w:name w:val="Überschrift 2 Zchn"/>
    <w:basedOn w:val="Absatz-Standardschriftart"/>
    <w:link w:val="berschrift2"/>
    <w:uiPriority w:val="9"/>
    <w:locked/>
    <w:rsid w:val="005B37A2"/>
    <w:rPr>
      <w:rFonts w:ascii="DejaVu Sans Condensed" w:eastAsiaTheme="majorEastAsia" w:hAnsi="DejaVu Sans Condensed" w:cs="Times New Roman"/>
      <w:color w:val="808080" w:themeColor="background1" w:themeShade="80"/>
      <w:sz w:val="12"/>
      <w:szCs w:val="12"/>
    </w:rPr>
  </w:style>
  <w:style w:type="character" w:customStyle="1" w:styleId="berschrift3Zchn">
    <w:name w:val="Überschrift 3 Zchn"/>
    <w:basedOn w:val="Absatz-Standardschriftart"/>
    <w:link w:val="berschrift3"/>
    <w:uiPriority w:val="9"/>
    <w:locked/>
    <w:rsid w:val="0001297D"/>
    <w:rPr>
      <w:rFonts w:ascii="Arial" w:eastAsiaTheme="majorEastAsia" w:hAnsi="Arial" w:cs="Times New Roman"/>
      <w:color w:val="2E74B5" w:themeColor="accent1" w:themeShade="BF"/>
      <w:sz w:val="24"/>
      <w:szCs w:val="24"/>
    </w:rPr>
  </w:style>
  <w:style w:type="paragraph" w:styleId="Titel">
    <w:name w:val="Title"/>
    <w:basedOn w:val="Standard"/>
    <w:next w:val="Standard"/>
    <w:link w:val="TitelZchn"/>
    <w:autoRedefine/>
    <w:uiPriority w:val="10"/>
    <w:rsid w:val="00C02DDA"/>
    <w:pPr>
      <w:spacing w:after="0" w:line="240" w:lineRule="auto"/>
      <w:contextualSpacing/>
    </w:pPr>
    <w:rPr>
      <w:rFonts w:eastAsiaTheme="majorEastAsia"/>
      <w:color w:val="2E74B5" w:themeColor="accent1" w:themeShade="BF"/>
      <w:spacing w:val="-10"/>
      <w:kern w:val="28"/>
      <w:sz w:val="56"/>
      <w:szCs w:val="56"/>
    </w:rPr>
  </w:style>
  <w:style w:type="character" w:customStyle="1" w:styleId="TitelZchn">
    <w:name w:val="Titel Zchn"/>
    <w:basedOn w:val="Absatz-Standardschriftart"/>
    <w:link w:val="Titel"/>
    <w:uiPriority w:val="10"/>
    <w:locked/>
    <w:rsid w:val="00C02DDA"/>
    <w:rPr>
      <w:rFonts w:ascii="Arial" w:eastAsiaTheme="majorEastAsia" w:hAnsi="Arial" w:cs="Times New Roman"/>
      <w:color w:val="2E74B5" w:themeColor="accent1" w:themeShade="BF"/>
      <w:spacing w:val="-10"/>
      <w:kern w:val="28"/>
      <w:sz w:val="56"/>
      <w:szCs w:val="56"/>
    </w:rPr>
  </w:style>
  <w:style w:type="paragraph" w:styleId="Untertitel">
    <w:name w:val="Subtitle"/>
    <w:basedOn w:val="Standard"/>
    <w:next w:val="Standard"/>
    <w:link w:val="UntertitelZchn"/>
    <w:autoRedefine/>
    <w:uiPriority w:val="11"/>
    <w:qFormat/>
    <w:rsid w:val="00C02DDA"/>
    <w:pPr>
      <w:numPr>
        <w:ilvl w:val="1"/>
      </w:numPr>
    </w:pPr>
    <w:rPr>
      <w:rFonts w:eastAsiaTheme="minorEastAsia"/>
      <w:color w:val="2E74B5" w:themeColor="accent1" w:themeShade="BF"/>
      <w:spacing w:val="15"/>
    </w:rPr>
  </w:style>
  <w:style w:type="character" w:customStyle="1" w:styleId="UntertitelZchn">
    <w:name w:val="Untertitel Zchn"/>
    <w:basedOn w:val="Absatz-Standardschriftart"/>
    <w:link w:val="Untertitel"/>
    <w:uiPriority w:val="11"/>
    <w:locked/>
    <w:rsid w:val="00C02DDA"/>
    <w:rPr>
      <w:rFonts w:ascii="Arial" w:eastAsiaTheme="minorEastAsia" w:hAnsi="Arial" w:cs="Times New Roman"/>
      <w:color w:val="2E74B5" w:themeColor="accent1" w:themeShade="BF"/>
      <w:spacing w:val="15"/>
    </w:rPr>
  </w:style>
  <w:style w:type="character" w:customStyle="1" w:styleId="Formatvorlage1">
    <w:name w:val="Formatvorlage1"/>
    <w:basedOn w:val="Absatz-Standardschriftart"/>
    <w:uiPriority w:val="1"/>
    <w:qFormat/>
    <w:rsid w:val="00BF7B76"/>
    <w:rPr>
      <w:rFonts w:ascii="Arial" w:hAnsi="Arial" w:cs="Times New Roman"/>
      <w:b/>
      <w:sz w:val="20"/>
    </w:rPr>
  </w:style>
  <w:style w:type="character" w:customStyle="1" w:styleId="Kontrollkstchen">
    <w:name w:val="Kontrollkästchen"/>
    <w:basedOn w:val="Absatz-Standardschriftart"/>
    <w:uiPriority w:val="1"/>
    <w:qFormat/>
    <w:rsid w:val="00BF7B76"/>
    <w:rPr>
      <w:rFonts w:ascii="Arial" w:hAnsi="Arial" w:cs="Times New Roman"/>
      <w:b/>
    </w:rPr>
  </w:style>
  <w:style w:type="table" w:styleId="Tabellenraster">
    <w:name w:val="Table Grid"/>
    <w:basedOn w:val="NormaleTabelle"/>
    <w:uiPriority w:val="39"/>
    <w:rsid w:val="0045093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versteckt">
    <w:name w:val="Überschrift versteckt"/>
    <w:basedOn w:val="Standard"/>
    <w:rsid w:val="004A5456"/>
    <w:pPr>
      <w:spacing w:before="120" w:after="120" w:line="240" w:lineRule="auto"/>
    </w:pPr>
    <w:rPr>
      <w:rFonts w:ascii="DejaVu Sans Condensed" w:hAnsi="DejaVu Sans Condensed" w:cs="DejaVu Sans Condensed"/>
      <w:b/>
      <w:i/>
      <w:color w:val="404040" w:themeColor="text1" w:themeTint="BF"/>
      <w:szCs w:val="20"/>
    </w:rPr>
  </w:style>
  <w:style w:type="paragraph" w:styleId="Sprechblasentext">
    <w:name w:val="Balloon Text"/>
    <w:basedOn w:val="Standard"/>
    <w:link w:val="SprechblasentextZchn"/>
    <w:uiPriority w:val="99"/>
    <w:semiHidden/>
    <w:unhideWhenUsed/>
    <w:rsid w:val="000D2F3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0D2F36"/>
    <w:rPr>
      <w:rFonts w:ascii="Segoe UI" w:hAnsi="Segoe UI" w:cs="Segoe UI"/>
      <w:sz w:val="18"/>
      <w:szCs w:val="18"/>
    </w:rPr>
  </w:style>
  <w:style w:type="paragraph" w:customStyle="1" w:styleId="DSC8">
    <w:name w:val="DSC8"/>
    <w:basedOn w:val="Standard"/>
    <w:qFormat/>
    <w:rsid w:val="006B2D5D"/>
    <w:pPr>
      <w:spacing w:after="0" w:line="240" w:lineRule="auto"/>
    </w:pPr>
    <w:rPr>
      <w:rFonts w:ascii="DejaVu Sans Condensed" w:hAnsi="DejaVu Sans Condensed" w:cs="DejaVu Sans Condensed"/>
      <w:color w:val="404040" w:themeColor="text1" w:themeTint="BF"/>
      <w:sz w:val="16"/>
      <w:szCs w:val="16"/>
    </w:rPr>
  </w:style>
  <w:style w:type="paragraph" w:customStyle="1" w:styleId="DSM8">
    <w:name w:val="DSM8"/>
    <w:basedOn w:val="Standard"/>
    <w:qFormat/>
    <w:rsid w:val="00100572"/>
    <w:pPr>
      <w:spacing w:after="0" w:line="240" w:lineRule="auto"/>
    </w:pPr>
    <w:rPr>
      <w:rFonts w:ascii="DejaVu Sans Mono" w:hAnsi="DejaVu Sans Mono" w:cs="DejaVu Sans Condensed"/>
      <w:sz w:val="16"/>
      <w:szCs w:val="20"/>
    </w:rPr>
  </w:style>
  <w:style w:type="paragraph" w:styleId="Kopfzeile">
    <w:name w:val="header"/>
    <w:basedOn w:val="Standard"/>
    <w:link w:val="KopfzeileZchn"/>
    <w:uiPriority w:val="99"/>
    <w:unhideWhenUsed/>
    <w:rsid w:val="002679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2679E5"/>
    <w:rPr>
      <w:rFonts w:ascii="Arial" w:hAnsi="Arial" w:cs="Times New Roman"/>
      <w:sz w:val="20"/>
    </w:rPr>
  </w:style>
  <w:style w:type="paragraph" w:styleId="Fuzeile">
    <w:name w:val="footer"/>
    <w:basedOn w:val="Standard"/>
    <w:link w:val="FuzeileZchn"/>
    <w:uiPriority w:val="99"/>
    <w:unhideWhenUsed/>
    <w:rsid w:val="002679E5"/>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2679E5"/>
    <w:rPr>
      <w:rFonts w:ascii="Arial"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775</Words>
  <Characters>4984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GewA1 (Anlage Hinweise)</vt:lpstr>
    </vt:vector>
  </TitlesOfParts>
  <Company/>
  <LinksUpToDate>false</LinksUpToDate>
  <CharactersWithSpaces>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GewA1 (Anlage Hinweise)</dc:title>
  <dc:creator>naviga GmbH</dc:creator>
  <cp:lastModifiedBy>Richard Cloppenburg</cp:lastModifiedBy>
  <cp:revision>2</cp:revision>
  <cp:lastPrinted>2019-05-22T08:39:00Z</cp:lastPrinted>
  <dcterms:created xsi:type="dcterms:W3CDTF">2019-10-22T13:55:00Z</dcterms:created>
  <dcterms:modified xsi:type="dcterms:W3CDTF">2019-10-22T13:55:00Z</dcterms:modified>
</cp:coreProperties>
</file>